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A5 Rechtvaardige toerekening kosten leegstand zakelijk onroerend goed voor de OZB.pdf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Rechtvaardige-toerekening-kosten-leegstand-zakelijk-onroerend-goed-voor-de-OZ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A4 Geen onnodige legesheffing voor gehandicapten.pdf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179,55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Geen-onnodige-legesheffing-voor-gehandicap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A3 Verenigingen zijn te belangrijk om ze in 2026 niet te compenseren voor inflatie.pdf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180,04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Verenigingen-zijn-te-belangrijk-om-ze-in-2026-niet-te-compenseren-voor-infl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A2 Correct aanbieden van afval wordt geen onderdeel van de afvalstoffenheffing.pdf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181,22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Correct-aanbieden-van-afval-wordt-geen-onderdeel-van-de-afvalstoffen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A5 - Rechtvaardige toerekening kosten leegstand zakelijk onroerend goed voor de OZB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80,91 KB</text:p>
          </table:table-cell>
          <table:table-cell table:style-name="Table3.A2" office:value-type="string">
            <text:p text:style-name="P22">
              <text:a xlink:type="simple" xlink:href="https://raad.dordrecht.nl/Documenten/A5-Rechtvaardige-toerekening-kosten-leegstand-zakelijk-onroerend-goed-voor-de-OZB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A4 - Geen onnodige legesheffing voor gehandicapten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52,59 KB</text:p>
          </table:table-cell>
          <table:table-cell table:style-name="Table3.A2" office:value-type="string">
            <text:p text:style-name="P22">
              <text:a xlink:type="simple" xlink:href="https://raad.dordrecht.nl/Documenten/A4-Geen-onnodige-legesheffing-voor-gehandicapten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A3 - Verenigingen zijn te belangrijk om z in 2026 niet te compenseren voor inflatie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dordrecht.nl/Documenten/A3-Verenigingen-zijn-te-belangrijk-om-z-in-2026-niet-te-compenseren-voor-inflati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A2 - Correct aanbieden van afval wordt geen onderdeel van de afvalstoffenheffing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79,91 KB</text:p>
          </table:table-cell>
          <table:table-cell table:style-name="Table3.A2" office:value-type="string">
            <text:p text:style-name="P22">
              <text:a xlink:type="simple" xlink:href="https://raad.dordrecht.nl/Documenten/A2-Correct-aanbieden-van-afval-wordt-geen-onderdeel-van-de-afvalstoffenheffing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A1 - Correctie formulering hondenbelasting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43,97 KB</text:p>
          </table:table-cell>
          <table:table-cell table:style-name="Table3.A2" office:value-type="string">
            <text:p text:style-name="P22">
              <text:a xlink:type="simple" xlink:href="https://raad.dordrecht.nl/Documenten/A1-Correctie-formulering-hondenbelasting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83" meta:character-count="1195" meta:non-whitespace-character-count="10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