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VVD 
              <text:s/>
              Ventilatie buurthuizen en culturele centra.pdf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Ventilatie-buurthuizen-en-culturele-centr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VSP 
              <text:s/>
              Kruising Nassauweg en Julianaweg.pdf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SP-Kruising-Nassauweg-en-Juliana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GewoonDordt Ontwikkeling woningen op de punt - Plangebied A Stadswerven.pdf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ewoonDordt-Ontwikkeling-woningen-op-de-punt-Plangebied-A-Stadswerv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aanvullende artikel 40-vragen VVD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28,55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40-vragen-VVD-Huisvesting-statushoud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VVD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Huisvesting-status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artikel 39-vragen PvdA Opvang Afghaanse vluchtelingen_def.pdf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39-vragen-PvdA-Opvang-Afghaanse-vluchtelingen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BVD Inkomenstoets Jeugd.pdf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Inkomenstoets-Jeugd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Antwoordbrief artikel 40-vragen VVD Betere afvalbakken tegen zwerfafval .pdf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Betere-afvalbakken-tegen-zwerfafv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Antwoordbrief artikel 40-vragen VVD sloop muur bij Dordts Museum1.pdf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sloop-muur-bij-Dordts-Museum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Antwoordbrief artikel 40-vragen SP Subsidie betaalbare woningbouw versie def.pdf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Subsidie-betaalbare-woningbouw-versie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64" meta:character-count="1213" meta:non-whitespace-character-count="1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436289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436289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