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PvdD Stop het uitbuiten van Vogelklas Karel Schot.pdf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op-het-uitbuiten-van-Vogelklas-Karel-Scho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FW Voormalig NMI gebouw.pdf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Voormalig-NMI-ge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PvdA Parkeertarieven belangrijke maatschappelijke functies.pdf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Parkeertarieven-belangrijke-maatschappelijke-func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FW Buurthuis De Voliere.pdf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44,42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Buurthuis-De-Voli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Op Ons Eiland Warmtenet duurder dan gas.pdf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p-Ons-Eiland-Warmtenet-duurder-dan-g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CDA Beinvloedbare factoren luchtkwaliteit.pdf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Beinvloedbare-factoren-luchtkw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VVD Bezoekersparkeren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ezoekersparkeren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FW Gevolgen voornemen RWS zoetwatergetijdengebied Hel- en Zuilespolder.pdf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51,75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Gevolgen-voornemen-RWS-zoetwatergetijdengebied-Hel-en-Zuiles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VVD Waarom de Hel- en Zuilespolder onderwater zetten als dat al gebeurt in de Otterpolder.pdf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Waarom-de-Hel-en-Zuilespolder-onderwater-zetten-als-dat-al-gebeurt-in-de-Otter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GL+SP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39,12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SP-Stadswer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VVD+CU-SGP Verbeter bereikbaarheid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CU-SGP-Verbeter-bereikbaarheid-Wilgenwen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4" meta:character-count="1353" meta:non-whitespace-character-count="1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