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bestemmingsplan 2e herziening Stadswerven, locatie 50 kV gebouw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tadswerven-locatie-50-kV-gebouw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1e Verzamelwijziging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raad.dordrecht.nl/Documenten/Voorstel-1e-Verzamelwijziging-2022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Aanpassen regelgeving i.h.k.v. agenda deelmobiliteit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56,34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regelgeving-i-h-k-v-agenda-deelmobiliteit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bestemmingsplan Geluidsschermen N3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-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Toepassen Wet voorkeursrecht gemeenten (ex artikel 4 Wet voorkeursrecht gemeenten (Wvg)) op de Sterovitalocatie in het plangebied Weeskinderendijk (Maasterras Dordtse 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-4-Wet-voorkeursrecht-gemeenten-Wvg-op-de-Sterovitalocatie-in-het-plangebied-Weeskinderendijk-Maasterras-Dordtse-Spoorzone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Spelregels Dordtse Dinsdag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38,61 KB</text:p>
          </table:table-cell>
          <table:table-cell table:style-name="Table3.A2" office:value-type="string">
            <text:p text:style-name="P22">
              <text:a xlink:type="simple" xlink:href="https://raad.dordrecht.nl/Documenten/Voorstel-Spelregels-Dordtse-Dinsdag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Reglement van Orde raad en commissies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37,58 KB</text:p>
          </table:table-cell>
          <table:table-cell table:style-name="Table3.A2" office:value-type="string">
            <text:p text:style-name="P22">
              <text:a xlink:type="simple" xlink:href="https://raad.dordrecht.nl/Documenten/Voorstel-Reglement-van-Orde-raad-en-commissies-gemeente-Dordrech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kaders en proces doorontwikkeling dagrecreatieterrein Nieuwe Dordtse Biesbosch en beschikbaar stellen van krediet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s-en-proces-doorontwikkeling-dagrecreatieterrein-Nieuwe-Dordtse-Biesbosch-en-beschikbaar-stellen-van-krediet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Verordening op de gemeentelijke adviescommissie Ruimtelijke Kwaliteit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gemeentelijke-adviescommissie-Ruimtelijke-Kwaliteit-Dordrecht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Adviesrecht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dviesrecht-Omgevingswet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Reglement van Orde raad en commissies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37,58 KB</text:p>
          </table:table-cell>
          <table:table-cell table:style-name="Table3.A2" office:value-type="string">
            <text:p text:style-name="P22">
              <text:a xlink:type="simple" xlink:href="https://raad.dordrecht.nl/Documenten/Voorstel-Reglement-van-Orde-raad-en-commissies-gemeente-Dordrecht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Spelregels Dordtse Dinsdag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38,61 KB</text:p>
          </table:table-cell>
          <table:table-cell table:style-name="Table3.A2" office:value-type="string">
            <text:p text:style-name="P22">
              <text:a xlink:type="simple" xlink:href="https://raad.dordrecht.nl/Documenten/Voorstel-Spelregels-Dordtse-Dinsdag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20e wijziging Algemene plaatselijke verordening i.v.m. de inwerkingtreding van de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0e-wijziging-Algemene-plaatselijke-verordening-i-v-m-de-inwerkingtreding-van-de-Omgevingswet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Afhandelen motie 201110/M3A: 30 in z'n drie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raad.dordrecht.nl/Documenten/M3A-30-in-z-n-drie-Raadsvoorstel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bestemmingsplan Geluidsschermen N3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Aandelenoverdracht GRD transitie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raad.dordrecht.nl/Documenten/Voorstel-Aandelenoverdracht-GRD-transitie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Toepassen Wet voorkeursrecht gemeenten (ex artikel 4 Wet voorkeursrecht gemeenten (Wvg)) op de Sterovitalocatie in het plangebied Weeskinderendijk (Maasterras Dordtse 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-4-Wet-voorkeursrecht-gemeenten-Wvg-op-de-Sterovitalocatie-in-het-plangebied-Weeskinderendijk-Maasterras-Dordtse-Spoorzone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Beleidsnotitie invoering Ja-Ja sticker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leidsnotitie-invoering-Ja-Ja-sticker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bestemmingsplan 2e herziening Stadswerven, locatie 50 kV gebouw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tadswerven-locatie-50-kV-gebouw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van het koersdocument 'Smart Society'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koersdocument-Smart-Society-Dordrecht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Zienswijze ontwerp bestemmingsplan van de heer Ploeg inzake Geluidsschermen N3 
              <text:s/>
              Middenzone.pdf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31,88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ontwerp-bestemmingsplan-van-de-heer-Ploeg-inzake-Geluidsschermen-N3-Middenzon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77" meta:character-count="2827" meta:non-whitespace-character-count="2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