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1e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raad.dordrecht.nl/Documenten/Voorstel-1e-Verzamelwijziging-2022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Aanpassen regelgeving i.h.k.v. agenda deelmobiliteit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regelgeving-i-h-k-v-agenda-deelmobilitei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bestemmingsplan Geluidsschermen N3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de Sterovitalocatie in het plangebied Weeskinderendijk (Maasterras 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de-Sterovitalocatie-in-het-plangebied-Weeskinderendijk-Maasterras-Dordtse-Spoorzone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Spelregels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raad.dordrecht.nl/Documenten/Voorstel-Spelregels-Dordtse-Dinsdag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Reglement van Orde raad en commissies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37,58 KB</text:p>
          </table:table-cell>
          <table:table-cell table:style-name="Table3.A2" office:value-type="string">
            <text:p text:style-name="P22">
              <text:a xlink:type="simple" xlink:href="https://raad.dordrecht.nl/Documenten/Voorstel-Reglement-van-Orde-raad-en-commissies-gemeente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kaders en proces doorontwikkeling dagrecreatieterrein Nieuwe Dordtse Biesbosch en beschikbaar stellen van krediet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proces-doorontwikkeling-dagrecreatieterrein-Nieuwe-Dordtse-Biesbosch-en-beschikbaar-stellen-van-krediet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Adviesrecht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dviesrecht-Omgevingswe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Reglement van Orde raad en commissies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37,58 KB</text:p>
          </table:table-cell>
          <table:table-cell table:style-name="Table3.A2" office:value-type="string">
            <text:p text:style-name="P22">
              <text:a xlink:type="simple" xlink:href="https://raad.dordrecht.nl/Documenten/Voorstel-Reglement-van-Orde-raad-en-commissies-gemeente-Dordrecht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Spelregels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raad.dordrecht.nl/Documenten/Voorstel-Spelregels-Dordtse-Dinsdag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20e wijziging Algemene plaatselijke verordening i.v.m. de inwerkingtreding van de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0e-wijziging-Algemene-plaatselijke-verordening-i-v-m-de-inwerkingtreding-van-de-Omgevingswet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bestemmingsplan Geluidsschermen N3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Aandelenoverdracht GRD transitie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raad.dordrecht.nl/Documenten/Voorstel-Aandelenoverdracht-GRD-transitie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de Sterovitalocatie in het plangebied Weeskinderendijk (Maasterras 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de-Sterovitalocatie-in-het-plangebied-Weeskinderendijk-Maasterras-Dordtse-Spoorzone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Beleidsnotitie invoering Ja-Ja sticker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leidsnotitie-invoering-Ja-Ja-sticker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2e herziening Stadswerven, locatie 50 kV gebouw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tadswerven-locatie-50-kV-gebouw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van het koersdocument 'Smart Society'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koersdocument-Smart-Society-Dordrecht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Zienswijze ontwerp bestemmingsplan van de heer Ploeg inzake Geluidsschermen N3 
              <text:s/>
              Middenzone.pdf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31,88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ontwerp-bestemmingsplan-van-de-heer-Ploeg-inzake-Geluidsschermen-N3-Middenzon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77" meta:character-count="2827" meta:non-whitespace-character-count="2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