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GroenLinks Verlengde jeugdhulp en dakloosheid.pdf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Verlengde-jeugdhulp-en-daklooshe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VVD+CDA Verbeter veiligheid en doorstroming bij werkzaamheden Krispijnseweg.pdf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CDA-Verbeter-veiligheid-en-doorstroming-bij-werkzaamheden-Krispij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PvdA DG&amp;amp;J en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DG-J-en-Veilig-T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GroenLinks Vergunning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Vergunning-Chemou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GroenLinks Verlengde jeugdhulp en dakloosheid.pdf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Verlengde-jeugdhulp-en-dakloos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CDA Een huisarts dichtbij.pdf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Een-huisarts-dichtb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 vragen RvO van Fracties VVD en CDA over Verbeter veiligheid en doorstroming bij werkzaamheden Krispijnseweg.pdf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336,60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Fracties-VVD-en-CDA-over-Verbeter-veiligheid-en-doorstroming-bij-werkzaamheden-Krispijn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 vragen RvO van fracties Van Waardhuizen en Gewoon Dordt over Voortijdige schoolverlaters.pdf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fracties-Van-Waardhuizen-en-Gewoon-Dordt-over-Voortijdige-schoolverlat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fractie Van Waardhuizen Energietransitie in het perspectief van klimaatambities.pdf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fractie-Van-Waardhuizen-Energietransitie-in-het-perspectief-van-klimaatambi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PvdD Kerstbomenbeleid gemeente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Kerstbomenbeleid-gemeente-Dor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VVD Het Vogelnest.pdf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t-Vogelne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 vragen RvO over toegankelijkheid openbare ruimte_.pdf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over-toegankelijkheid-openbare-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367" meta:non-whitespace-character-count="1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